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2078714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פ/37/21</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47C0E3F5" w:rsidR="00E13C27" w:rsidRDefault="00A443CF" w:rsidP="004E1383">
      <w:pPr>
        <w:pStyle w:val="HeadHatzaotHok"/>
        <w:rPr>
          <w:rtl/>
        </w:rPr>
      </w:pPr>
      <w:bookmarkStart w:id="7" w:name="LGS_Subject"/>
      <w:r>
        <w:rPr>
          <w:rFonts w:hint="cs"/>
          <w:rtl/>
        </w:rPr>
        <w:t>הצעת חוק זכויות מבצעים ומשדרים (תיקון – הגנה על זכויות מבצעים ב</w:t>
      </w:r>
      <w:r w:rsidR="004E1383">
        <w:rPr>
          <w:rFonts w:hint="cs"/>
          <w:rtl/>
        </w:rPr>
        <w:t xml:space="preserve">של </w:t>
      </w:r>
      <w:r>
        <w:rPr>
          <w:rFonts w:hint="cs"/>
          <w:rtl/>
        </w:rPr>
        <w:t>יצירותיהם מקום המדינה), התשע"ט–2019</w:t>
      </w:r>
      <w:bookmarkEnd w:id="7"/>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1F6498" w14:paraId="45493C32" w14:textId="77777777" w:rsidTr="00253E3F">
        <w:trPr>
          <w:cantSplit/>
          <w:trHeight w:val="60"/>
        </w:trPr>
        <w:tc>
          <w:tcPr>
            <w:tcW w:w="1871" w:type="dxa"/>
            <w:hideMark/>
          </w:tcPr>
          <w:p w14:paraId="5142C266" w14:textId="77777777" w:rsidR="001F6498" w:rsidRDefault="001F6498" w:rsidP="00A5633C">
            <w:pPr>
              <w:pStyle w:val="TableSideHeading"/>
              <w:keepLines w:val="0"/>
              <w:rPr>
                <w:rtl/>
              </w:rPr>
            </w:pPr>
            <w:bookmarkStart w:id="8" w:name="_GoBack"/>
            <w:bookmarkEnd w:id="8"/>
            <w:r>
              <w:rPr>
                <w:rFonts w:hint="cs"/>
                <w:rtl/>
              </w:rPr>
              <w:t>תיקון סעיף 14</w:t>
            </w:r>
          </w:p>
        </w:tc>
        <w:tc>
          <w:tcPr>
            <w:tcW w:w="624" w:type="dxa"/>
            <w:hideMark/>
          </w:tcPr>
          <w:p w14:paraId="0928A4C4" w14:textId="77777777" w:rsidR="001F6498" w:rsidRDefault="001F6498" w:rsidP="00A5633C">
            <w:pPr>
              <w:pStyle w:val="TableText"/>
              <w:rPr>
                <w:rtl/>
              </w:rPr>
            </w:pPr>
            <w:r>
              <w:rPr>
                <w:rFonts w:hint="cs"/>
                <w:rtl/>
              </w:rPr>
              <w:t>1.</w:t>
            </w:r>
          </w:p>
        </w:tc>
        <w:tc>
          <w:tcPr>
            <w:tcW w:w="7146" w:type="dxa"/>
            <w:hideMark/>
          </w:tcPr>
          <w:p w14:paraId="7745A148" w14:textId="6160AC0B" w:rsidR="001F6498" w:rsidRDefault="001F6498" w:rsidP="004E1383">
            <w:pPr>
              <w:pStyle w:val="TableBlock"/>
              <w:rPr>
                <w:rtl/>
              </w:rPr>
            </w:pPr>
            <w:r>
              <w:rPr>
                <w:rFonts w:hint="cs"/>
                <w:rtl/>
              </w:rPr>
              <w:t>בחוק זכויות מבצעים ומשדרים, התשמ"ד–1984</w:t>
            </w:r>
            <w:r>
              <w:rPr>
                <w:rStyle w:val="a6"/>
                <w:rtl/>
              </w:rPr>
              <w:footnoteReference w:id="2"/>
            </w:r>
            <w:r>
              <w:rPr>
                <w:rFonts w:hint="cs"/>
                <w:rtl/>
              </w:rPr>
              <w:t xml:space="preserve"> (להלן – החוק העיקרי), בסעיף 14, במקום "לא יחול על ביצוע שנעשה לפני תחילתו" יבוא "יחול על ביצוע שנעשה החל ביום ה' באייר התש"ח (14 במאי 1948)".</w:t>
            </w:r>
          </w:p>
        </w:tc>
      </w:tr>
      <w:tr w:rsidR="001F6498" w14:paraId="1158DB3C" w14:textId="77777777" w:rsidTr="00253E3F">
        <w:trPr>
          <w:cantSplit/>
          <w:trHeight w:val="60"/>
        </w:trPr>
        <w:tc>
          <w:tcPr>
            <w:tcW w:w="1871" w:type="dxa"/>
            <w:hideMark/>
          </w:tcPr>
          <w:p w14:paraId="25971984" w14:textId="77777777" w:rsidR="001F6498" w:rsidRDefault="001F6498" w:rsidP="00A5633C">
            <w:pPr>
              <w:pStyle w:val="TableSideHeading"/>
              <w:keepLines w:val="0"/>
              <w:rPr>
                <w:rtl/>
              </w:rPr>
            </w:pPr>
            <w:r>
              <w:rPr>
                <w:rFonts w:hint="cs"/>
                <w:rtl/>
              </w:rPr>
              <w:t>תחולה</w:t>
            </w:r>
          </w:p>
        </w:tc>
        <w:tc>
          <w:tcPr>
            <w:tcW w:w="624" w:type="dxa"/>
            <w:hideMark/>
          </w:tcPr>
          <w:p w14:paraId="30BA9E24" w14:textId="77777777" w:rsidR="001F6498" w:rsidRDefault="001F6498" w:rsidP="00A5633C">
            <w:pPr>
              <w:pStyle w:val="TableText"/>
              <w:rPr>
                <w:rtl/>
              </w:rPr>
            </w:pPr>
            <w:r>
              <w:rPr>
                <w:rFonts w:hint="cs"/>
                <w:rtl/>
              </w:rPr>
              <w:t>2.</w:t>
            </w:r>
          </w:p>
        </w:tc>
        <w:tc>
          <w:tcPr>
            <w:tcW w:w="7146" w:type="dxa"/>
            <w:hideMark/>
          </w:tcPr>
          <w:p w14:paraId="0251A5F8" w14:textId="0B09F046" w:rsidR="001F6498" w:rsidRDefault="004E1383" w:rsidP="004E1383">
            <w:pPr>
              <w:pStyle w:val="TableBlock"/>
              <w:rPr>
                <w:rtl/>
              </w:rPr>
            </w:pPr>
            <w:r>
              <w:rPr>
                <w:rFonts w:hint="cs"/>
                <w:rtl/>
              </w:rPr>
              <w:t xml:space="preserve">זכאות לתמלוגים בעד ביצוע </w:t>
            </w:r>
            <w:r w:rsidR="001F6498">
              <w:rPr>
                <w:rFonts w:hint="cs"/>
                <w:rtl/>
              </w:rPr>
              <w:t>שלא היתה זכאות להם אילולא הורא</w:t>
            </w:r>
            <w:r>
              <w:rPr>
                <w:rFonts w:hint="cs"/>
                <w:rtl/>
              </w:rPr>
              <w:t>ו</w:t>
            </w:r>
            <w:r w:rsidR="001F6498">
              <w:rPr>
                <w:rFonts w:hint="cs"/>
                <w:rtl/>
              </w:rPr>
              <w:t xml:space="preserve">ת סעיף 14 לחוק העיקרי כנוסחו בחוק זה, תהיה מיום תחילתו של חוק זה ואילך. </w:t>
            </w:r>
          </w:p>
        </w:tc>
      </w:tr>
    </w:tbl>
    <w:p w14:paraId="7F6961CA" w14:textId="77777777" w:rsidR="002D1EE3" w:rsidRDefault="002D1EE3" w:rsidP="002D1EE3">
      <w:pPr>
        <w:pStyle w:val="HeadDivreiHesber"/>
        <w:rPr>
          <w:rtl/>
        </w:rPr>
      </w:pPr>
      <w:r w:rsidRPr="0027450A">
        <w:rPr>
          <w:rFonts w:hint="cs"/>
          <w:rtl/>
        </w:rPr>
        <w:t>דברי הסבר</w:t>
      </w:r>
    </w:p>
    <w:p w14:paraId="3CF27D6D" w14:textId="77777777" w:rsidR="001F6498" w:rsidRDefault="001F6498" w:rsidP="001F6498">
      <w:pPr>
        <w:pStyle w:val="Hesber"/>
      </w:pPr>
      <w:r>
        <w:rPr>
          <w:rFonts w:hint="cs"/>
          <w:rtl/>
        </w:rPr>
        <w:t xml:space="preserve">סעיף 14 לחוק זכויות מבצעים ומשדרים, התשמ"ד– 1984 (להלן </w:t>
      </w:r>
      <w:r>
        <w:rPr>
          <w:rtl/>
        </w:rPr>
        <w:t>–</w:t>
      </w:r>
      <w:r>
        <w:rPr>
          <w:rFonts w:hint="cs"/>
          <w:rtl/>
        </w:rPr>
        <w:t xml:space="preserve"> החוק), קובע כי החוק לא יחול על ביצוע שנעשה לפני תחילתו, קרי לפני יום 20 ביולי 1984.</w:t>
      </w:r>
    </w:p>
    <w:p w14:paraId="3DC2A181" w14:textId="77777777" w:rsidR="001F6498" w:rsidRDefault="001F6498" w:rsidP="001F6498">
      <w:pPr>
        <w:pStyle w:val="Hesber"/>
        <w:rPr>
          <w:rtl/>
        </w:rPr>
      </w:pPr>
      <w:r>
        <w:rPr>
          <w:rFonts w:hint="cs"/>
          <w:rtl/>
        </w:rPr>
        <w:t xml:space="preserve">מטרת הצעת החוק היא למנוע את ההפליה הקיימת בין מבצעים שיצרו את יצירתם לפני 20 ביולי 1984 ובין מבצעים שיצרו יצירתם לאחר כניסת החוק לתוקף. </w:t>
      </w:r>
    </w:p>
    <w:p w14:paraId="6EBAA2B5" w14:textId="5C1F7EBE" w:rsidR="001F6498" w:rsidRDefault="001F6498" w:rsidP="004E1383">
      <w:pPr>
        <w:pStyle w:val="Hesber"/>
        <w:rPr>
          <w:rtl/>
        </w:rPr>
      </w:pPr>
      <w:r>
        <w:rPr>
          <w:rFonts w:hint="cs"/>
          <w:rtl/>
        </w:rPr>
        <w:t xml:space="preserve">למבצע יצירה תרומה לערכה של היצירה מבחינה מסחרית ומוסרית ולאחר הצטרפותה של מדינת ישראל לאמנת רומא בשנת 1961 חוקקה המדינה בשנת 1984 חוק המעניק הגנה למבצעים על זכויותיהם בביצועיהם. ואולם, נוסחו של החוק כיום מעניק את ההגנה על זכויות רק ליצירות שנוצרו לאחר כניסת החוק לתוקף. כלומר, רק מבצעים שביצעו יצירתם לאחר יום </w:t>
      </w:r>
      <w:r w:rsidR="004E1383">
        <w:rPr>
          <w:rFonts w:hint="cs"/>
          <w:rtl/>
        </w:rPr>
        <w:t>20 ביולי 1984</w:t>
      </w:r>
      <w:r>
        <w:rPr>
          <w:rFonts w:hint="cs"/>
          <w:rtl/>
        </w:rPr>
        <w:t xml:space="preserve"> זכאים להגנה על יצירתם. כפועל יוצא מכך, יוצרים רבים אינם זוכים לתמלוגים בגין יצירותיהם, שחלקן כיום הן בגדר נכסי צאן ברזל של התרבות הישראלית.</w:t>
      </w:r>
    </w:p>
    <w:p w14:paraId="0900F996" w14:textId="77777777" w:rsidR="001F6498" w:rsidRDefault="001F6498" w:rsidP="001F6498">
      <w:pPr>
        <w:pStyle w:val="Hesber"/>
        <w:rPr>
          <w:rtl/>
        </w:rPr>
      </w:pPr>
      <w:r>
        <w:rPr>
          <w:rFonts w:hint="cs"/>
          <w:rtl/>
        </w:rPr>
        <w:t>מצב עניינים זה פוגע במיוחד באמנים הוותיקים והמבוגרים שהחברה חייבת להם רבות על תרומתם הגדולה לתרבותה. דווקא בערוב ימיהם של האמנים המבצעים הללו, הם מוצאים עצמם מנושלים מזכויותיהם והצעת החוק מבקשת לתקן את היעדר השוויוניות בין האמנים והיצירות שנוצרו לפני ואחרי כניסת החוק לתוקף.</w:t>
      </w:r>
    </w:p>
    <w:p w14:paraId="1DBE5834" w14:textId="77777777" w:rsidR="00253E3F" w:rsidRDefault="00253E3F" w:rsidP="001F6498">
      <w:pPr>
        <w:pStyle w:val="Hesber"/>
        <w:rPr>
          <w:rtl/>
        </w:rPr>
      </w:pPr>
    </w:p>
    <w:p w14:paraId="2A4A9563" w14:textId="77777777" w:rsidR="00253E3F" w:rsidRDefault="00253E3F" w:rsidP="001F6498">
      <w:pPr>
        <w:pStyle w:val="Hesber"/>
        <w:rPr>
          <w:rtl/>
        </w:rPr>
      </w:pPr>
    </w:p>
    <w:p w14:paraId="05739E7A" w14:textId="77777777" w:rsidR="001F6498" w:rsidRDefault="001F6498" w:rsidP="001F6498">
      <w:pPr>
        <w:pStyle w:val="Hesber"/>
        <w:rPr>
          <w:rtl/>
        </w:rPr>
      </w:pPr>
      <w:r>
        <w:rPr>
          <w:rFonts w:hint="cs"/>
          <w:rtl/>
        </w:rPr>
        <w:lastRenderedPageBreak/>
        <w:t xml:space="preserve">מוצע לקבוע שהחוק יחול על כלל היצירות שנוצרו בישראל מקום המדינה </w:t>
      </w:r>
      <w:r>
        <w:rPr>
          <w:rFonts w:hint="eastAsia"/>
          <w:rtl/>
        </w:rPr>
        <w:t>–</w:t>
      </w:r>
      <w:r>
        <w:rPr>
          <w:rFonts w:hint="cs"/>
          <w:rtl/>
        </w:rPr>
        <w:t xml:space="preserve"> ה' באייר התש"ח (14.5.1948). כמו כן, מוצע כי אמנים שיצרו יצירתם לפני יום 20.7.1984 יזכו לזכויות מכוח החוק רק בגין שידור, השמעה או ניגון וכיוצא בזה, שיתבצעו לאחר כניסת התיקון המוצע לתוקף.</w:t>
      </w:r>
    </w:p>
    <w:p w14:paraId="3F935D87" w14:textId="75298C8D" w:rsidR="001F6498" w:rsidRDefault="001F6498" w:rsidP="00861E6E">
      <w:pPr>
        <w:pStyle w:val="Hesber"/>
        <w:rPr>
          <w:rtl/>
        </w:rPr>
      </w:pPr>
      <w:r>
        <w:rPr>
          <w:rFonts w:hint="cs"/>
          <w:rtl/>
        </w:rPr>
        <w:t>הצע</w:t>
      </w:r>
      <w:r w:rsidR="00861E6E">
        <w:rPr>
          <w:rFonts w:hint="cs"/>
          <w:rtl/>
        </w:rPr>
        <w:t>ו</w:t>
      </w:r>
      <w:r>
        <w:rPr>
          <w:rFonts w:hint="cs"/>
          <w:rtl/>
        </w:rPr>
        <w:t>ת חוק זה</w:t>
      </w:r>
      <w:r w:rsidR="00861E6E">
        <w:rPr>
          <w:rFonts w:hint="cs"/>
          <w:rtl/>
        </w:rPr>
        <w:t>ות</w:t>
      </w:r>
      <w:r>
        <w:rPr>
          <w:rFonts w:hint="cs"/>
          <w:rtl/>
        </w:rPr>
        <w:t xml:space="preserve"> הונח</w:t>
      </w:r>
      <w:r w:rsidR="00861E6E">
        <w:rPr>
          <w:rFonts w:hint="cs"/>
          <w:rtl/>
        </w:rPr>
        <w:t>ו</w:t>
      </w:r>
      <w:r>
        <w:rPr>
          <w:rFonts w:hint="cs"/>
          <w:rtl/>
        </w:rPr>
        <w:t xml:space="preserve"> על שולחן הכנסת העשרים על ידי חבר הכנסת יעקב פרי וקבוצת חברי הכנסת (פ/3655/20</w:t>
      </w:r>
      <w:r w:rsidR="00BF1F88">
        <w:rPr>
          <w:rFonts w:hint="cs"/>
          <w:rtl/>
        </w:rPr>
        <w:t>; הוסרה מסדר היום ביום ג' באדר התשע"ז (1 במרס 2017)) ועל ידי חבר הכנסת מאיר כהן (פ/5200/20).</w:t>
      </w:r>
    </w:p>
    <w:p w14:paraId="6A8E6F16" w14:textId="77777777" w:rsidR="00253E3F" w:rsidRDefault="00253E3F" w:rsidP="00861E6E">
      <w:pPr>
        <w:pStyle w:val="Hesber"/>
        <w:rPr>
          <w:rtl/>
        </w:rPr>
      </w:pPr>
    </w:p>
    <w:p w14:paraId="75487E73" w14:textId="77777777" w:rsidR="00253E3F" w:rsidRDefault="00253E3F" w:rsidP="00861E6E">
      <w:pPr>
        <w:pStyle w:val="Hesber"/>
        <w:rPr>
          <w:rtl/>
        </w:rPr>
      </w:pPr>
    </w:p>
    <w:p w14:paraId="7927EB59" w14:textId="77777777" w:rsidR="00253E3F" w:rsidRDefault="00253E3F" w:rsidP="00861E6E">
      <w:pPr>
        <w:pStyle w:val="Hesber"/>
        <w:rPr>
          <w:rtl/>
        </w:rPr>
      </w:pPr>
    </w:p>
    <w:p w14:paraId="0B7CB2FE" w14:textId="77777777" w:rsidR="00253E3F" w:rsidRPr="00D73212" w:rsidRDefault="00253E3F" w:rsidP="00253E3F">
      <w:pPr>
        <w:pStyle w:val="Hesber"/>
        <w:rPr>
          <w:color w:val="auto"/>
          <w:rtl/>
          <w:lang w:eastAsia="en-US"/>
        </w:rPr>
      </w:pPr>
      <w:r w:rsidRPr="00D73212">
        <w:rPr>
          <w:color w:val="auto"/>
          <w:rtl/>
          <w:lang w:eastAsia="en-US"/>
        </w:rPr>
        <w:t>---------------------------------</w:t>
      </w:r>
    </w:p>
    <w:p w14:paraId="49EB5EEA" w14:textId="77777777" w:rsidR="00253E3F" w:rsidRPr="00D73212" w:rsidRDefault="00253E3F" w:rsidP="00253E3F">
      <w:pPr>
        <w:pStyle w:val="Hesber"/>
        <w:rPr>
          <w:color w:val="auto"/>
          <w:rtl/>
          <w:lang w:eastAsia="en-US"/>
        </w:rPr>
      </w:pPr>
      <w:r w:rsidRPr="00D73212">
        <w:rPr>
          <w:rFonts w:hint="cs"/>
          <w:color w:val="auto"/>
          <w:rtl/>
          <w:lang w:eastAsia="en-US"/>
        </w:rPr>
        <w:t>הוגשה</w:t>
      </w:r>
      <w:r w:rsidRPr="00D73212">
        <w:rPr>
          <w:color w:val="auto"/>
          <w:rtl/>
          <w:lang w:eastAsia="en-US"/>
        </w:rPr>
        <w:t xml:space="preserve"> </w:t>
      </w:r>
      <w:r w:rsidRPr="00D73212">
        <w:rPr>
          <w:rFonts w:hint="cs"/>
          <w:color w:val="auto"/>
          <w:rtl/>
          <w:lang w:eastAsia="en-US"/>
        </w:rPr>
        <w:t>ליו</w:t>
      </w:r>
      <w:r w:rsidRPr="00D73212">
        <w:rPr>
          <w:color w:val="auto"/>
          <w:rtl/>
          <w:lang w:eastAsia="en-US"/>
        </w:rPr>
        <w:t>"</w:t>
      </w:r>
      <w:r w:rsidRPr="00D73212">
        <w:rPr>
          <w:rFonts w:hint="cs"/>
          <w:color w:val="auto"/>
          <w:rtl/>
          <w:lang w:eastAsia="en-US"/>
        </w:rPr>
        <w:t>ר</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והסגנים</w:t>
      </w:r>
    </w:p>
    <w:p w14:paraId="65A50A07" w14:textId="77777777" w:rsidR="00253E3F" w:rsidRPr="00D73212" w:rsidRDefault="00253E3F" w:rsidP="00253E3F">
      <w:pPr>
        <w:pStyle w:val="Hesber"/>
        <w:rPr>
          <w:color w:val="auto"/>
          <w:rtl/>
          <w:lang w:eastAsia="en-US"/>
        </w:rPr>
      </w:pPr>
      <w:r w:rsidRPr="00D73212">
        <w:rPr>
          <w:rFonts w:hint="cs"/>
          <w:color w:val="auto"/>
          <w:rtl/>
          <w:lang w:eastAsia="en-US"/>
        </w:rPr>
        <w:t>והונחה</w:t>
      </w:r>
      <w:r w:rsidRPr="00D73212">
        <w:rPr>
          <w:color w:val="auto"/>
          <w:rtl/>
          <w:lang w:eastAsia="en-US"/>
        </w:rPr>
        <w:t xml:space="preserve"> </w:t>
      </w:r>
      <w:r w:rsidRPr="00D73212">
        <w:rPr>
          <w:rFonts w:hint="cs"/>
          <w:color w:val="auto"/>
          <w:rtl/>
          <w:lang w:eastAsia="en-US"/>
        </w:rPr>
        <w:t>על</w:t>
      </w:r>
      <w:r w:rsidRPr="00D73212">
        <w:rPr>
          <w:color w:val="auto"/>
          <w:rtl/>
          <w:lang w:eastAsia="en-US"/>
        </w:rPr>
        <w:t xml:space="preserve"> </w:t>
      </w:r>
      <w:r w:rsidRPr="00D73212">
        <w:rPr>
          <w:rFonts w:hint="cs"/>
          <w:color w:val="auto"/>
          <w:rtl/>
          <w:lang w:eastAsia="en-US"/>
        </w:rPr>
        <w:t>שולחן</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ביום</w:t>
      </w:r>
    </w:p>
    <w:p w14:paraId="077E9247" w14:textId="77777777" w:rsidR="00253E3F" w:rsidRPr="00317312" w:rsidRDefault="00253E3F" w:rsidP="00253E3F">
      <w:pPr>
        <w:pStyle w:val="Hesber"/>
      </w:pPr>
      <w:r>
        <w:rPr>
          <w:rFonts w:hint="cs"/>
          <w:color w:val="auto"/>
          <w:rtl/>
          <w:lang w:eastAsia="en-US"/>
        </w:rPr>
        <w:t>ט"ו באייר</w:t>
      </w:r>
      <w:r w:rsidRPr="00D73212">
        <w:rPr>
          <w:color w:val="auto"/>
          <w:rtl/>
          <w:lang w:eastAsia="en-US"/>
        </w:rPr>
        <w:t xml:space="preserve"> </w:t>
      </w:r>
      <w:r w:rsidRPr="00D73212">
        <w:rPr>
          <w:rFonts w:hint="cs"/>
          <w:color w:val="auto"/>
          <w:rtl/>
          <w:lang w:eastAsia="en-US"/>
        </w:rPr>
        <w:t>התשע</w:t>
      </w:r>
      <w:r w:rsidRPr="00D73212">
        <w:rPr>
          <w:color w:val="auto"/>
          <w:rtl/>
          <w:lang w:eastAsia="en-US"/>
        </w:rPr>
        <w:t>"</w:t>
      </w:r>
      <w:r>
        <w:rPr>
          <w:rFonts w:hint="cs"/>
          <w:color w:val="auto"/>
          <w:rtl/>
          <w:lang w:eastAsia="en-US"/>
        </w:rPr>
        <w:t xml:space="preserve">ט </w:t>
      </w:r>
      <w:r w:rsidRPr="00D73212">
        <w:rPr>
          <w:color w:val="auto"/>
          <w:rtl/>
          <w:lang w:eastAsia="en-US"/>
        </w:rPr>
        <w:t>–</w:t>
      </w:r>
      <w:r>
        <w:rPr>
          <w:rFonts w:hint="cs"/>
          <w:color w:val="auto"/>
          <w:rtl/>
          <w:lang w:eastAsia="en-US"/>
        </w:rPr>
        <w:t xml:space="preserve"> 20.5</w:t>
      </w:r>
      <w:r w:rsidRPr="00D73212">
        <w:rPr>
          <w:color w:val="auto"/>
          <w:rtl/>
          <w:lang w:eastAsia="en-US"/>
        </w:rPr>
        <w:t>.</w:t>
      </w:r>
      <w:r>
        <w:rPr>
          <w:rFonts w:hint="cs"/>
          <w:color w:val="auto"/>
          <w:rtl/>
          <w:lang w:eastAsia="en-US"/>
        </w:rPr>
        <w:t xml:space="preserve">19  </w:t>
      </w:r>
    </w:p>
    <w:p w14:paraId="1377C828" w14:textId="77777777" w:rsidR="001F6498" w:rsidRPr="00253E3F" w:rsidRDefault="001F6498" w:rsidP="001F6498">
      <w:pPr>
        <w:pStyle w:val="Hesber"/>
        <w:rPr>
          <w:rtl/>
        </w:rPr>
      </w:pPr>
    </w:p>
    <w:p w14:paraId="75465E46" w14:textId="77777777" w:rsidR="001F6498" w:rsidRDefault="001F6498" w:rsidP="001F6498">
      <w:pPr>
        <w:pStyle w:val="Hesber"/>
        <w:rPr>
          <w:rtl/>
        </w:rPr>
      </w:pPr>
    </w:p>
    <w:p w14:paraId="7F6961CB" w14:textId="77777777" w:rsidR="00E13C27" w:rsidRDefault="00E13C27" w:rsidP="00E13C27">
      <w:pPr>
        <w:pStyle w:val="Hesber"/>
        <w:rPr>
          <w:rtl/>
        </w:rPr>
      </w:pPr>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253E3F">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18DF52DC" w14:textId="77777777" w:rsidR="001F6498" w:rsidRDefault="001F6498" w:rsidP="001F6498">
      <w:pPr>
        <w:pStyle w:val="a4"/>
        <w:rPr>
          <w:rtl/>
        </w:rPr>
      </w:pPr>
      <w:r>
        <w:rPr>
          <w:rStyle w:val="a6"/>
        </w:rPr>
        <w:footnoteRef/>
      </w:r>
      <w:r>
        <w:rPr>
          <w:rFonts w:hint="cs"/>
          <w:rtl/>
        </w:rPr>
        <w:t xml:space="preserve"> ס"ח התשמ"ד, עמ' 157.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1F6498"/>
    <w:rsid w:val="00203A7F"/>
    <w:rsid w:val="0021633A"/>
    <w:rsid w:val="002200A1"/>
    <w:rsid w:val="002362BF"/>
    <w:rsid w:val="00241B97"/>
    <w:rsid w:val="002425D1"/>
    <w:rsid w:val="00246756"/>
    <w:rsid w:val="00251E58"/>
    <w:rsid w:val="00253E3F"/>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1383"/>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1E6E"/>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BF1F88"/>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A1AB513-2787-42F5-B2F0-FFBF9047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1F6498"/>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2EFD9-152F-4C31-ADB8-CBDF245F4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6BEF15D1-096F-4B37-BF33-29DF50394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370</Words>
  <Characters>1854</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2019-05-19T07:57:00Z</cp:lastPrinted>
  <dcterms:created xsi:type="dcterms:W3CDTF">2015-04-20T09:58:00Z</dcterms:created>
  <dcterms:modified xsi:type="dcterms:W3CDTF">2019-05-19T07:57:00Z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2078714</vt:r8>
  </property>
</Properties>
</file>